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B8EF"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color w:val="222222"/>
          <w:kern w:val="0"/>
          <w:sz w:val="28"/>
          <w:szCs w:val="28"/>
          <w:lang w:eastAsia="en-IL"/>
          <w14:ligatures w14:val="none"/>
        </w:rPr>
        <w:t>You are cordially invited to a Computational Genomics Seminar</w:t>
      </w:r>
    </w:p>
    <w:p w14:paraId="67676BF5"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Arial" w:eastAsia="Times New Roman" w:hAnsi="Arial" w:cs="Arial"/>
          <w:color w:val="17365D"/>
          <w:kern w:val="0"/>
          <w:sz w:val="22"/>
          <w:szCs w:val="22"/>
          <w:lang w:eastAsia="en-IL"/>
          <w14:ligatures w14:val="none"/>
        </w:rPr>
        <w:t> </w:t>
      </w:r>
    </w:p>
    <w:p w14:paraId="05A58C9F"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color w:val="0070C0"/>
          <w:kern w:val="0"/>
          <w:sz w:val="32"/>
          <w:szCs w:val="32"/>
          <w:lang w:eastAsia="en-IL"/>
          <w14:ligatures w14:val="none"/>
        </w:rPr>
        <w:t>Binyamin A. </w:t>
      </w:r>
      <w:proofErr w:type="spellStart"/>
      <w:r w:rsidRPr="00AB3D1A">
        <w:rPr>
          <w:rFonts w:ascii="Calibri" w:eastAsia="Times New Roman" w:hAnsi="Calibri" w:cs="Calibri"/>
          <w:color w:val="0070C0"/>
          <w:kern w:val="0"/>
          <w:sz w:val="32"/>
          <w:szCs w:val="32"/>
          <w:lang w:eastAsia="en-IL"/>
          <w14:ligatures w14:val="none"/>
        </w:rPr>
        <w:t>Knisbacher</w:t>
      </w:r>
      <w:proofErr w:type="spellEnd"/>
      <w:r w:rsidRPr="00AB3D1A">
        <w:rPr>
          <w:rFonts w:ascii="Calibri" w:eastAsia="Times New Roman" w:hAnsi="Calibri" w:cs="Calibri"/>
          <w:color w:val="0070C0"/>
          <w:kern w:val="0"/>
          <w:sz w:val="32"/>
          <w:szCs w:val="32"/>
          <w:lang w:eastAsia="en-IL"/>
          <w14:ligatures w14:val="none"/>
        </w:rPr>
        <w:t>, PhD</w:t>
      </w:r>
    </w:p>
    <w:p w14:paraId="3B10517B"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color w:val="222222"/>
          <w:kern w:val="0"/>
          <w:lang w:eastAsia="en-IL"/>
          <w14:ligatures w14:val="none"/>
        </w:rPr>
        <w:t>Head of Cancer Genomics and Immunogenomics lab, Goodman Faculty of Life Sciences, Bar-Ilan University</w:t>
      </w:r>
    </w:p>
    <w:p w14:paraId="7C12AB7B" w14:textId="77777777" w:rsidR="00AB3D1A" w:rsidRPr="00AB3D1A" w:rsidRDefault="00AB3D1A" w:rsidP="00AB3D1A">
      <w:pPr>
        <w:shd w:val="clear" w:color="auto" w:fill="FFFFFF"/>
        <w:bidi/>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Arial" w:eastAsia="Times New Roman" w:hAnsi="Arial" w:cs="Arial"/>
          <w:color w:val="17365D"/>
          <w:kern w:val="0"/>
          <w:sz w:val="22"/>
          <w:szCs w:val="22"/>
          <w:lang w:eastAsia="en-IL"/>
          <w14:ligatures w14:val="none"/>
        </w:rPr>
        <w:t> </w:t>
      </w:r>
    </w:p>
    <w:p w14:paraId="734978AE"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rtl/>
          <w:lang w:eastAsia="en-IL"/>
          <w14:ligatures w14:val="none"/>
        </w:rPr>
      </w:pPr>
      <w:r w:rsidRPr="00AB3D1A">
        <w:rPr>
          <w:rFonts w:ascii="Calibri" w:eastAsia="Times New Roman" w:hAnsi="Calibri" w:cs="Calibri"/>
          <w:i/>
          <w:iCs/>
          <w:color w:val="0070C0"/>
          <w:kern w:val="0"/>
          <w:sz w:val="28"/>
          <w:szCs w:val="28"/>
          <w:lang w:eastAsia="en-IL"/>
          <w14:ligatures w14:val="none"/>
        </w:rPr>
        <w:t>"</w:t>
      </w:r>
      <w:proofErr w:type="spellStart"/>
      <w:r w:rsidRPr="00AB3D1A">
        <w:rPr>
          <w:rFonts w:ascii="Calibri" w:eastAsia="Times New Roman" w:hAnsi="Calibri" w:cs="Calibri"/>
          <w:i/>
          <w:iCs/>
          <w:color w:val="0070C0"/>
          <w:kern w:val="0"/>
          <w:sz w:val="28"/>
          <w:szCs w:val="28"/>
          <w:lang w:eastAsia="en-IL"/>
          <w14:ligatures w14:val="none"/>
        </w:rPr>
        <w:t>Multiomic</w:t>
      </w:r>
      <w:proofErr w:type="spellEnd"/>
      <w:r w:rsidRPr="00AB3D1A">
        <w:rPr>
          <w:rFonts w:ascii="Calibri" w:eastAsia="Times New Roman" w:hAnsi="Calibri" w:cs="Calibri"/>
          <w:i/>
          <w:iCs/>
          <w:color w:val="0070C0"/>
          <w:kern w:val="0"/>
          <w:sz w:val="28"/>
          <w:szCs w:val="28"/>
          <w:lang w:eastAsia="en-IL"/>
          <w14:ligatures w14:val="none"/>
        </w:rPr>
        <w:t xml:space="preserve"> data from 1148 chronic lymphocytic leukemia patients delineates their molecular map and its impact on </w:t>
      </w:r>
      <w:proofErr w:type="gramStart"/>
      <w:r w:rsidRPr="00AB3D1A">
        <w:rPr>
          <w:rFonts w:ascii="Calibri" w:eastAsia="Times New Roman" w:hAnsi="Calibri" w:cs="Calibri"/>
          <w:i/>
          <w:iCs/>
          <w:color w:val="0070C0"/>
          <w:kern w:val="0"/>
          <w:sz w:val="28"/>
          <w:szCs w:val="28"/>
          <w:lang w:eastAsia="en-IL"/>
          <w14:ligatures w14:val="none"/>
        </w:rPr>
        <w:t>outcome</w:t>
      </w:r>
      <w:proofErr w:type="gramEnd"/>
      <w:r w:rsidRPr="00AB3D1A">
        <w:rPr>
          <w:rFonts w:ascii="Calibri" w:eastAsia="Times New Roman" w:hAnsi="Calibri" w:cs="Calibri"/>
          <w:i/>
          <w:iCs/>
          <w:color w:val="0070C0"/>
          <w:kern w:val="0"/>
          <w:sz w:val="28"/>
          <w:szCs w:val="28"/>
          <w:lang w:eastAsia="en-IL"/>
          <w14:ligatures w14:val="none"/>
        </w:rPr>
        <w:t>"</w:t>
      </w:r>
    </w:p>
    <w:p w14:paraId="64A793BC"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color w:val="222222"/>
          <w:kern w:val="0"/>
          <w:sz w:val="32"/>
          <w:szCs w:val="32"/>
          <w:rtl/>
          <w:lang w:eastAsia="en-IL"/>
          <w14:ligatures w14:val="none"/>
        </w:rPr>
        <w:t> </w:t>
      </w:r>
    </w:p>
    <w:p w14:paraId="0BDB7C20"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color w:val="222222"/>
          <w:kern w:val="0"/>
          <w:sz w:val="28"/>
          <w:szCs w:val="28"/>
          <w:lang w:eastAsia="en-IL"/>
          <w14:ligatures w14:val="none"/>
        </w:rPr>
        <w:t>Wednesday </w:t>
      </w:r>
      <w:r w:rsidRPr="00AB3D1A">
        <w:rPr>
          <w:rFonts w:ascii="Calibri" w:eastAsia="Times New Roman" w:hAnsi="Calibri" w:cs="Calibri"/>
          <w:color w:val="0070C0"/>
          <w:kern w:val="0"/>
          <w:sz w:val="28"/>
          <w:szCs w:val="28"/>
          <w:lang w:eastAsia="en-IL"/>
          <w14:ligatures w14:val="none"/>
        </w:rPr>
        <w:t>September 7</w:t>
      </w:r>
      <w:r w:rsidRPr="00AB3D1A">
        <w:rPr>
          <w:rFonts w:ascii="Calibri" w:eastAsia="Times New Roman" w:hAnsi="Calibri" w:cs="Calibri"/>
          <w:color w:val="222222"/>
          <w:kern w:val="0"/>
          <w:sz w:val="28"/>
          <w:szCs w:val="28"/>
          <w:lang w:eastAsia="en-IL"/>
          <w14:ligatures w14:val="none"/>
        </w:rPr>
        <w:t> at </w:t>
      </w:r>
      <w:r w:rsidRPr="00AB3D1A">
        <w:rPr>
          <w:rFonts w:ascii="Calibri" w:eastAsia="Times New Roman" w:hAnsi="Calibri" w:cs="Calibri"/>
          <w:color w:val="0070C0"/>
          <w:kern w:val="0"/>
          <w:sz w:val="28"/>
          <w:szCs w:val="28"/>
          <w:lang w:eastAsia="en-IL"/>
          <w14:ligatures w14:val="none"/>
        </w:rPr>
        <w:t>11:15</w:t>
      </w:r>
    </w:p>
    <w:p w14:paraId="7E358F85"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color w:val="0070C0"/>
          <w:kern w:val="0"/>
          <w:sz w:val="28"/>
          <w:szCs w:val="28"/>
          <w:lang w:eastAsia="en-IL"/>
          <w14:ligatures w14:val="none"/>
        </w:rPr>
        <w:t>School of Computer Science, Check Point Building, Room 420</w:t>
      </w:r>
    </w:p>
    <w:p w14:paraId="67CFCE7C"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Arial" w:eastAsia="Times New Roman" w:hAnsi="Arial" w:cs="Arial"/>
          <w:color w:val="17365D"/>
          <w:kern w:val="0"/>
          <w:sz w:val="22"/>
          <w:szCs w:val="22"/>
          <w:lang w:eastAsia="en-IL"/>
          <w14:ligatures w14:val="none"/>
        </w:rPr>
        <w:t> </w:t>
      </w:r>
    </w:p>
    <w:p w14:paraId="2A315DEA"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color w:val="17365D"/>
          <w:kern w:val="0"/>
          <w:sz w:val="22"/>
          <w:szCs w:val="22"/>
          <w:lang w:eastAsia="en-IL"/>
          <w14:ligatures w14:val="none"/>
        </w:rPr>
        <w:t> </w:t>
      </w:r>
    </w:p>
    <w:p w14:paraId="42EC9EF1" w14:textId="77777777" w:rsidR="00AB3D1A" w:rsidRPr="00AB3D1A" w:rsidRDefault="00AB3D1A" w:rsidP="00AB3D1A">
      <w:pPr>
        <w:shd w:val="clear" w:color="auto" w:fill="FFFFFF"/>
        <w:spacing w:after="0" w:line="240" w:lineRule="auto"/>
        <w:jc w:val="both"/>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b/>
          <w:bCs/>
          <w:color w:val="222222"/>
          <w:kern w:val="0"/>
          <w:lang w:eastAsia="en-IL"/>
          <w14:ligatures w14:val="none"/>
        </w:rPr>
        <w:t>Abstract:</w:t>
      </w:r>
      <w:r w:rsidRPr="00AB3D1A">
        <w:rPr>
          <w:rFonts w:ascii="Calibri" w:eastAsia="Times New Roman" w:hAnsi="Calibri" w:cs="Calibri"/>
          <w:color w:val="222222"/>
          <w:kern w:val="0"/>
          <w:lang w:eastAsia="en-IL"/>
          <w14:ligatures w14:val="none"/>
        </w:rPr>
        <w:t> </w:t>
      </w:r>
      <w:r w:rsidRPr="00AB3D1A">
        <w:rPr>
          <w:rFonts w:ascii="Times New Roman" w:eastAsia="Times New Roman" w:hAnsi="Times New Roman" w:cs="Times New Roman"/>
          <w:color w:val="000000"/>
          <w:kern w:val="0"/>
          <w:lang w:eastAsia="en-IL"/>
          <w14:ligatures w14:val="none"/>
        </w:rPr>
        <w:t xml:space="preserve">Recent advances in cancer characterization have consistently revealed marked heterogeneity, impeding the completion of integrated molecular and clinical maps for each malignancy. Chronic lymphocytic leukemia (CLL) is a B cell neoplasm with highly variable natural history, which is conventionally categorized into two subtypes distinguished by the extent of somatic mutations in the heavy chain variable region of immunoglobulin genes (IGHV). Previously, two independent studies </w:t>
      </w:r>
      <w:proofErr w:type="spellStart"/>
      <w:r w:rsidRPr="00AB3D1A">
        <w:rPr>
          <w:rFonts w:ascii="Times New Roman" w:eastAsia="Times New Roman" w:hAnsi="Times New Roman" w:cs="Times New Roman"/>
          <w:color w:val="000000"/>
          <w:kern w:val="0"/>
          <w:lang w:eastAsia="en-IL"/>
          <w14:ligatures w14:val="none"/>
        </w:rPr>
        <w:t>analyzed</w:t>
      </w:r>
      <w:proofErr w:type="spellEnd"/>
      <w:r w:rsidRPr="00AB3D1A">
        <w:rPr>
          <w:rFonts w:ascii="Times New Roman" w:eastAsia="Times New Roman" w:hAnsi="Times New Roman" w:cs="Times New Roman"/>
          <w:color w:val="000000"/>
          <w:kern w:val="0"/>
          <w:lang w:eastAsia="en-IL"/>
          <w14:ligatures w14:val="none"/>
        </w:rPr>
        <w:t xml:space="preserve"> genetic data from ~500 CLL patients. To provide a more complete </w:t>
      </w:r>
      <w:proofErr w:type="spellStart"/>
      <w:r w:rsidRPr="00AB3D1A">
        <w:rPr>
          <w:rFonts w:ascii="Times New Roman" w:eastAsia="Times New Roman" w:hAnsi="Times New Roman" w:cs="Times New Roman"/>
          <w:color w:val="000000"/>
          <w:kern w:val="0"/>
          <w:lang w:eastAsia="en-IL"/>
          <w14:ligatures w14:val="none"/>
        </w:rPr>
        <w:t>bioclinical</w:t>
      </w:r>
      <w:proofErr w:type="spellEnd"/>
      <w:r w:rsidRPr="00AB3D1A">
        <w:rPr>
          <w:rFonts w:ascii="Times New Roman" w:eastAsia="Times New Roman" w:hAnsi="Times New Roman" w:cs="Times New Roman"/>
          <w:color w:val="000000"/>
          <w:kern w:val="0"/>
          <w:lang w:eastAsia="en-IL"/>
          <w14:ligatures w14:val="none"/>
        </w:rPr>
        <w:t xml:space="preserve"> understanding of CLL, we devised the ‘CLL-map’ project - an international </w:t>
      </w:r>
      <w:proofErr w:type="spellStart"/>
      <w:r w:rsidRPr="00AB3D1A">
        <w:rPr>
          <w:rFonts w:ascii="Times New Roman" w:eastAsia="Times New Roman" w:hAnsi="Times New Roman" w:cs="Times New Roman"/>
          <w:color w:val="000000"/>
          <w:kern w:val="0"/>
          <w:lang w:eastAsia="en-IL"/>
          <w14:ligatures w14:val="none"/>
        </w:rPr>
        <w:t>endeavor</w:t>
      </w:r>
      <w:proofErr w:type="spellEnd"/>
      <w:r w:rsidRPr="00AB3D1A">
        <w:rPr>
          <w:rFonts w:ascii="Times New Roman" w:eastAsia="Times New Roman" w:hAnsi="Times New Roman" w:cs="Times New Roman"/>
          <w:color w:val="000000"/>
          <w:kern w:val="0"/>
          <w:lang w:eastAsia="en-IL"/>
          <w14:ligatures w14:val="none"/>
        </w:rPr>
        <w:t xml:space="preserve"> to harmonize and </w:t>
      </w:r>
      <w:proofErr w:type="spellStart"/>
      <w:r w:rsidRPr="00AB3D1A">
        <w:rPr>
          <w:rFonts w:ascii="Times New Roman" w:eastAsia="Times New Roman" w:hAnsi="Times New Roman" w:cs="Times New Roman"/>
          <w:color w:val="000000"/>
          <w:kern w:val="0"/>
          <w:lang w:eastAsia="en-IL"/>
          <w14:ligatures w14:val="none"/>
        </w:rPr>
        <w:t>analyze</w:t>
      </w:r>
      <w:proofErr w:type="spellEnd"/>
      <w:r w:rsidRPr="00AB3D1A">
        <w:rPr>
          <w:rFonts w:ascii="Times New Roman" w:eastAsia="Times New Roman" w:hAnsi="Times New Roman" w:cs="Times New Roman"/>
          <w:color w:val="000000"/>
          <w:kern w:val="0"/>
          <w:lang w:eastAsia="en-IL"/>
          <w14:ligatures w14:val="none"/>
        </w:rPr>
        <w:t xml:space="preserve"> genomic, transcriptomic, and epigenomic data from 1148 patients (</w:t>
      </w:r>
      <w:proofErr w:type="spellStart"/>
      <w:r w:rsidRPr="00AB3D1A">
        <w:rPr>
          <w:rFonts w:ascii="Times New Roman" w:eastAsia="Times New Roman" w:hAnsi="Times New Roman" w:cs="Times New Roman"/>
          <w:color w:val="222222"/>
          <w:kern w:val="0"/>
          <w:lang w:eastAsia="en-IL"/>
          <w14:ligatures w14:val="none"/>
        </w:rPr>
        <w:fldChar w:fldCharType="begin"/>
      </w:r>
      <w:r w:rsidRPr="00AB3D1A">
        <w:rPr>
          <w:rFonts w:ascii="Times New Roman" w:eastAsia="Times New Roman" w:hAnsi="Times New Roman" w:cs="Times New Roman"/>
          <w:color w:val="222222"/>
          <w:kern w:val="0"/>
          <w:lang w:eastAsia="en-IL"/>
          <w14:ligatures w14:val="none"/>
        </w:rPr>
        <w:instrText>HYPERLINK "https://www.nature.com/articles/s41588-022-01140-w" \t "_blank"</w:instrText>
      </w:r>
      <w:r w:rsidRPr="00AB3D1A">
        <w:rPr>
          <w:rFonts w:ascii="Times New Roman" w:eastAsia="Times New Roman" w:hAnsi="Times New Roman" w:cs="Times New Roman"/>
          <w:color w:val="222222"/>
          <w:kern w:val="0"/>
          <w:lang w:eastAsia="en-IL"/>
          <w14:ligatures w14:val="none"/>
        </w:rPr>
      </w:r>
      <w:r w:rsidRPr="00AB3D1A">
        <w:rPr>
          <w:rFonts w:ascii="Times New Roman" w:eastAsia="Times New Roman" w:hAnsi="Times New Roman" w:cs="Times New Roman"/>
          <w:color w:val="222222"/>
          <w:kern w:val="0"/>
          <w:lang w:eastAsia="en-IL"/>
          <w14:ligatures w14:val="none"/>
        </w:rPr>
        <w:fldChar w:fldCharType="separate"/>
      </w:r>
      <w:r w:rsidRPr="00AB3D1A">
        <w:rPr>
          <w:rFonts w:ascii="Times New Roman" w:eastAsia="Times New Roman" w:hAnsi="Times New Roman" w:cs="Times New Roman"/>
          <w:color w:val="1155CC"/>
          <w:kern w:val="0"/>
          <w:u w:val="single"/>
          <w:lang w:eastAsia="en-IL"/>
          <w14:ligatures w14:val="none"/>
        </w:rPr>
        <w:t>Knisbacher</w:t>
      </w:r>
      <w:proofErr w:type="spellEnd"/>
      <w:r w:rsidRPr="00AB3D1A">
        <w:rPr>
          <w:rFonts w:ascii="Times New Roman" w:eastAsia="Times New Roman" w:hAnsi="Times New Roman" w:cs="Times New Roman"/>
          <w:color w:val="1155CC"/>
          <w:kern w:val="0"/>
          <w:u w:val="single"/>
          <w:lang w:eastAsia="en-IL"/>
          <w14:ligatures w14:val="none"/>
        </w:rPr>
        <w:t> et al, Nature Genetics, </w:t>
      </w:r>
      <w:r w:rsidRPr="00AB3D1A">
        <w:rPr>
          <w:rFonts w:ascii="Times New Roman" w:eastAsia="Times New Roman" w:hAnsi="Times New Roman" w:cs="Times New Roman"/>
          <w:i/>
          <w:iCs/>
          <w:color w:val="1155CC"/>
          <w:kern w:val="0"/>
          <w:u w:val="single"/>
          <w:lang w:eastAsia="en-IL"/>
          <w14:ligatures w14:val="none"/>
        </w:rPr>
        <w:t>in press</w:t>
      </w:r>
      <w:r w:rsidRPr="00AB3D1A">
        <w:rPr>
          <w:rFonts w:ascii="Times New Roman" w:eastAsia="Times New Roman" w:hAnsi="Times New Roman" w:cs="Times New Roman"/>
          <w:color w:val="222222"/>
          <w:kern w:val="0"/>
          <w:lang w:eastAsia="en-IL"/>
          <w14:ligatures w14:val="none"/>
        </w:rPr>
        <w:fldChar w:fldCharType="end"/>
      </w:r>
      <w:r w:rsidRPr="00AB3D1A">
        <w:rPr>
          <w:rFonts w:ascii="Times New Roman" w:eastAsia="Times New Roman" w:hAnsi="Times New Roman" w:cs="Times New Roman"/>
          <w:color w:val="000000"/>
          <w:kern w:val="0"/>
          <w:lang w:eastAsia="en-IL"/>
          <w14:ligatures w14:val="none"/>
        </w:rPr>
        <w:t>).</w:t>
      </w:r>
    </w:p>
    <w:p w14:paraId="0A9A6197" w14:textId="77777777" w:rsidR="00AB3D1A" w:rsidRPr="00AB3D1A" w:rsidRDefault="00AB3D1A" w:rsidP="00AB3D1A">
      <w:pPr>
        <w:shd w:val="clear" w:color="auto" w:fill="FFFFFF"/>
        <w:spacing w:after="0" w:line="240" w:lineRule="auto"/>
        <w:jc w:val="both"/>
        <w:rPr>
          <w:rFonts w:ascii="Times New Roman" w:eastAsia="Times New Roman" w:hAnsi="Times New Roman" w:cs="Times New Roman"/>
          <w:color w:val="222222"/>
          <w:kern w:val="0"/>
          <w:lang w:eastAsia="en-IL"/>
          <w14:ligatures w14:val="none"/>
        </w:rPr>
      </w:pPr>
      <w:r w:rsidRPr="00AB3D1A">
        <w:rPr>
          <w:rFonts w:ascii="Times New Roman" w:eastAsia="Times New Roman" w:hAnsi="Times New Roman" w:cs="Times New Roman"/>
          <w:color w:val="000000"/>
          <w:kern w:val="0"/>
          <w:lang w:eastAsia="en-IL"/>
          <w14:ligatures w14:val="none"/>
        </w:rPr>
        <w:t xml:space="preserve">Doubling the cohort size and integrating with new </w:t>
      </w:r>
      <w:proofErr w:type="spellStart"/>
      <w:r w:rsidRPr="00AB3D1A">
        <w:rPr>
          <w:rFonts w:ascii="Times New Roman" w:eastAsia="Times New Roman" w:hAnsi="Times New Roman" w:cs="Times New Roman"/>
          <w:color w:val="000000"/>
          <w:kern w:val="0"/>
          <w:lang w:eastAsia="en-IL"/>
          <w14:ligatures w14:val="none"/>
        </w:rPr>
        <w:t>multiomic</w:t>
      </w:r>
      <w:proofErr w:type="spellEnd"/>
      <w:r w:rsidRPr="00AB3D1A">
        <w:rPr>
          <w:rFonts w:ascii="Times New Roman" w:eastAsia="Times New Roman" w:hAnsi="Times New Roman" w:cs="Times New Roman"/>
          <w:color w:val="000000"/>
          <w:kern w:val="0"/>
          <w:lang w:eastAsia="en-IL"/>
          <w14:ligatures w14:val="none"/>
        </w:rPr>
        <w:t xml:space="preserve"> data facilitated novel discovery. The greater statistical power enabled identification of 202 candidate genetic drivers of CLL (including 109</w:t>
      </w:r>
      <w:r w:rsidRPr="00AB3D1A">
        <w:rPr>
          <w:rFonts w:ascii="Times New Roman" w:eastAsia="Times New Roman" w:hAnsi="Times New Roman" w:cs="Times New Roman"/>
          <w:color w:val="FF0000"/>
          <w:kern w:val="0"/>
          <w:lang w:eastAsia="en-IL"/>
          <w14:ligatures w14:val="none"/>
        </w:rPr>
        <w:t> </w:t>
      </w:r>
      <w:r w:rsidRPr="00AB3D1A">
        <w:rPr>
          <w:rFonts w:ascii="Times New Roman" w:eastAsia="Times New Roman" w:hAnsi="Times New Roman" w:cs="Times New Roman"/>
          <w:color w:val="000000"/>
          <w:kern w:val="0"/>
          <w:lang w:eastAsia="en-IL"/>
          <w14:ligatures w14:val="none"/>
        </w:rPr>
        <w:t xml:space="preserve">novel ones) and refined the characterization of IGHV subtypes, which revealed distinct genomic landscapes and </w:t>
      </w:r>
      <w:proofErr w:type="spellStart"/>
      <w:r w:rsidRPr="00AB3D1A">
        <w:rPr>
          <w:rFonts w:ascii="Times New Roman" w:eastAsia="Times New Roman" w:hAnsi="Times New Roman" w:cs="Times New Roman"/>
          <w:color w:val="000000"/>
          <w:kern w:val="0"/>
          <w:lang w:eastAsia="en-IL"/>
          <w14:ligatures w14:val="none"/>
        </w:rPr>
        <w:t>leukemogenic</w:t>
      </w:r>
      <w:proofErr w:type="spellEnd"/>
      <w:r w:rsidRPr="00AB3D1A">
        <w:rPr>
          <w:rFonts w:ascii="Times New Roman" w:eastAsia="Times New Roman" w:hAnsi="Times New Roman" w:cs="Times New Roman"/>
          <w:color w:val="000000"/>
          <w:kern w:val="0"/>
          <w:lang w:eastAsia="en-IL"/>
          <w14:ligatures w14:val="none"/>
        </w:rPr>
        <w:t xml:space="preserve"> trajectories. Using ~600 CLL RNA-seqs, we discovered new gene expression subtypes that further subcategorized this neoplasm and proved to be independent prognostic factors. We devised a machine learning classifier for these RNA expression subtypes and show their relevance to independent cohorts.</w:t>
      </w:r>
    </w:p>
    <w:p w14:paraId="5F9E8FC2" w14:textId="77777777" w:rsidR="00AB3D1A" w:rsidRPr="00AB3D1A" w:rsidRDefault="00AB3D1A" w:rsidP="00AB3D1A">
      <w:pPr>
        <w:shd w:val="clear" w:color="auto" w:fill="FFFFFF"/>
        <w:spacing w:after="0" w:line="240" w:lineRule="auto"/>
        <w:jc w:val="both"/>
        <w:rPr>
          <w:rFonts w:ascii="Times New Roman" w:eastAsia="Times New Roman" w:hAnsi="Times New Roman" w:cs="Times New Roman"/>
          <w:color w:val="222222"/>
          <w:kern w:val="0"/>
          <w:lang w:eastAsia="en-IL"/>
          <w14:ligatures w14:val="none"/>
        </w:rPr>
      </w:pPr>
      <w:r w:rsidRPr="00AB3D1A">
        <w:rPr>
          <w:rFonts w:ascii="Times New Roman" w:eastAsia="Times New Roman" w:hAnsi="Times New Roman" w:cs="Times New Roman"/>
          <w:color w:val="000000"/>
          <w:kern w:val="0"/>
          <w:lang w:eastAsia="en-IL"/>
          <w14:ligatures w14:val="none"/>
        </w:rPr>
        <w:t>Integrative analysis using all molecular features shows that clinical outcomes are associated with a combination of genetic, epigenetic, and gene expression features, further advancing our prognostic paradigm for CLL. Overall, this work reveals fresh insights into CLL oncogenesis and prognostication and advances us towards improved precision medicine for CLL patients.</w:t>
      </w:r>
      <w:r w:rsidRPr="00AB3D1A">
        <w:rPr>
          <w:rFonts w:ascii="Times New Roman" w:eastAsia="Times New Roman" w:hAnsi="Times New Roman" w:cs="Times New Roman"/>
          <w:color w:val="222222"/>
          <w:kern w:val="0"/>
          <w:lang w:eastAsia="en-IL"/>
          <w14:ligatures w14:val="none"/>
        </w:rPr>
        <w:t> </w:t>
      </w:r>
      <w:r w:rsidRPr="00AB3D1A">
        <w:rPr>
          <w:rFonts w:ascii="Times New Roman" w:eastAsia="Times New Roman" w:hAnsi="Times New Roman" w:cs="Times New Roman"/>
          <w:color w:val="000000"/>
          <w:kern w:val="0"/>
          <w:lang w:eastAsia="en-IL"/>
          <w14:ligatures w14:val="none"/>
        </w:rPr>
        <w:t xml:space="preserve">In the current post-TCGA era, our findings motivate the initiation of cancer </w:t>
      </w:r>
      <w:proofErr w:type="spellStart"/>
      <w:r w:rsidRPr="00AB3D1A">
        <w:rPr>
          <w:rFonts w:ascii="Times New Roman" w:eastAsia="Times New Roman" w:hAnsi="Times New Roman" w:cs="Times New Roman"/>
          <w:color w:val="000000"/>
          <w:kern w:val="0"/>
          <w:lang w:eastAsia="en-IL"/>
          <w14:ligatures w14:val="none"/>
        </w:rPr>
        <w:t>multiomics</w:t>
      </w:r>
      <w:proofErr w:type="spellEnd"/>
      <w:r w:rsidRPr="00AB3D1A">
        <w:rPr>
          <w:rFonts w:ascii="Times New Roman" w:eastAsia="Times New Roman" w:hAnsi="Times New Roman" w:cs="Times New Roman"/>
          <w:color w:val="000000"/>
          <w:kern w:val="0"/>
          <w:lang w:eastAsia="en-IL"/>
          <w14:ligatures w14:val="none"/>
        </w:rPr>
        <w:t xml:space="preserve"> projects at larger scale for additional </w:t>
      </w:r>
      <w:proofErr w:type="spellStart"/>
      <w:r w:rsidRPr="00AB3D1A">
        <w:rPr>
          <w:rFonts w:ascii="Times New Roman" w:eastAsia="Times New Roman" w:hAnsi="Times New Roman" w:cs="Times New Roman"/>
          <w:color w:val="000000"/>
          <w:kern w:val="0"/>
          <w:lang w:eastAsia="en-IL"/>
          <w14:ligatures w14:val="none"/>
        </w:rPr>
        <w:t>tumor</w:t>
      </w:r>
      <w:proofErr w:type="spellEnd"/>
      <w:r w:rsidRPr="00AB3D1A">
        <w:rPr>
          <w:rFonts w:ascii="Times New Roman" w:eastAsia="Times New Roman" w:hAnsi="Times New Roman" w:cs="Times New Roman"/>
          <w:color w:val="000000"/>
          <w:kern w:val="0"/>
          <w:lang w:eastAsia="en-IL"/>
          <w14:ligatures w14:val="none"/>
        </w:rPr>
        <w:t xml:space="preserve"> types.</w:t>
      </w:r>
    </w:p>
    <w:p w14:paraId="60FDDE44" w14:textId="77777777" w:rsidR="00AB3D1A" w:rsidRPr="00AB3D1A" w:rsidRDefault="00AB3D1A" w:rsidP="00AB3D1A">
      <w:pPr>
        <w:shd w:val="clear" w:color="auto" w:fill="FFFFFF"/>
        <w:spacing w:after="0" w:line="240" w:lineRule="auto"/>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color w:val="222222"/>
          <w:kern w:val="0"/>
          <w:lang w:eastAsia="en-IL"/>
          <w14:ligatures w14:val="none"/>
        </w:rPr>
        <w:t> </w:t>
      </w:r>
    </w:p>
    <w:p w14:paraId="0644B9E9" w14:textId="77777777" w:rsidR="00AB3D1A" w:rsidRPr="00AB3D1A" w:rsidRDefault="00AB3D1A" w:rsidP="00AB3D1A">
      <w:pPr>
        <w:shd w:val="clear" w:color="auto" w:fill="FFFFFF"/>
        <w:spacing w:after="0" w:line="240" w:lineRule="auto"/>
        <w:rPr>
          <w:rFonts w:ascii="Times New Roman" w:eastAsia="Times New Roman" w:hAnsi="Times New Roman" w:cs="Times New Roman"/>
          <w:color w:val="222222"/>
          <w:kern w:val="0"/>
          <w:lang w:eastAsia="en-IL"/>
          <w14:ligatures w14:val="none"/>
        </w:rPr>
      </w:pPr>
      <w:r w:rsidRPr="00AB3D1A">
        <w:rPr>
          <w:rFonts w:ascii="Arial" w:eastAsia="Times New Roman" w:hAnsi="Arial" w:cs="Arial"/>
          <w:color w:val="17365D"/>
          <w:kern w:val="0"/>
          <w:sz w:val="22"/>
          <w:szCs w:val="22"/>
          <w:lang w:eastAsia="en-IL"/>
          <w14:ligatures w14:val="none"/>
        </w:rPr>
        <w:t> </w:t>
      </w:r>
    </w:p>
    <w:p w14:paraId="159CE601" w14:textId="77777777" w:rsidR="00AB3D1A" w:rsidRPr="00AB3D1A" w:rsidRDefault="00AB3D1A" w:rsidP="00AB3D1A">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AB3D1A">
        <w:rPr>
          <w:rFonts w:ascii="Calibri" w:eastAsia="Times New Roman" w:hAnsi="Calibri" w:cs="Calibri"/>
          <w:color w:val="222222"/>
          <w:kern w:val="0"/>
          <w:lang w:eastAsia="en-IL"/>
          <w14:ligatures w14:val="none"/>
        </w:rPr>
        <w:t>Host: </w:t>
      </w:r>
      <w:r w:rsidRPr="00AB3D1A">
        <w:rPr>
          <w:rFonts w:ascii="Calibri" w:eastAsia="Times New Roman" w:hAnsi="Calibri" w:cs="Calibri"/>
          <w:b/>
          <w:bCs/>
          <w:color w:val="222222"/>
          <w:kern w:val="0"/>
          <w:lang w:eastAsia="en-IL"/>
          <w14:ligatures w14:val="none"/>
        </w:rPr>
        <w:t> </w:t>
      </w:r>
      <w:hyperlink r:id="rId4" w:tgtFrame="_blank" w:history="1">
        <w:r w:rsidRPr="00AB3D1A">
          <w:rPr>
            <w:rFonts w:ascii="Calibri" w:eastAsia="Times New Roman" w:hAnsi="Calibri" w:cs="Calibri"/>
            <w:color w:val="1155CC"/>
            <w:kern w:val="0"/>
            <w:u w:val="single"/>
            <w:lang w:eastAsia="en-IL"/>
            <w14:ligatures w14:val="none"/>
          </w:rPr>
          <w:t>Prof. Ron Shamir</w:t>
        </w:r>
      </w:hyperlink>
      <w:r w:rsidRPr="00AB3D1A">
        <w:rPr>
          <w:rFonts w:ascii="Calibri" w:eastAsia="Times New Roman" w:hAnsi="Calibri" w:cs="Calibri"/>
          <w:color w:val="222222"/>
          <w:kern w:val="0"/>
          <w:lang w:eastAsia="en-IL"/>
          <w14:ligatures w14:val="none"/>
        </w:rPr>
        <w:t>, School of Computer Science, TAU</w:t>
      </w:r>
    </w:p>
    <w:p w14:paraId="722B4F3A" w14:textId="77777777" w:rsidR="008B37D7" w:rsidRDefault="008B37D7"/>
    <w:sectPr w:rsidR="008B3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D7"/>
    <w:rsid w:val="008B37D7"/>
    <w:rsid w:val="00AB3D1A"/>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F4B75-953F-4065-A6BE-D8797864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7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37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37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37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37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37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37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37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37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7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37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37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37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37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37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37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37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37D7"/>
    <w:rPr>
      <w:rFonts w:eastAsiaTheme="majorEastAsia" w:cstheme="majorBidi"/>
      <w:color w:val="272727" w:themeColor="text1" w:themeTint="D8"/>
    </w:rPr>
  </w:style>
  <w:style w:type="paragraph" w:styleId="Title">
    <w:name w:val="Title"/>
    <w:basedOn w:val="Normal"/>
    <w:next w:val="Normal"/>
    <w:link w:val="TitleChar"/>
    <w:uiPriority w:val="10"/>
    <w:qFormat/>
    <w:rsid w:val="008B37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37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37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37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37D7"/>
    <w:pPr>
      <w:spacing w:before="160"/>
      <w:jc w:val="center"/>
    </w:pPr>
    <w:rPr>
      <w:i/>
      <w:iCs/>
      <w:color w:val="404040" w:themeColor="text1" w:themeTint="BF"/>
    </w:rPr>
  </w:style>
  <w:style w:type="character" w:customStyle="1" w:styleId="QuoteChar">
    <w:name w:val="Quote Char"/>
    <w:basedOn w:val="DefaultParagraphFont"/>
    <w:link w:val="Quote"/>
    <w:uiPriority w:val="29"/>
    <w:rsid w:val="008B37D7"/>
    <w:rPr>
      <w:i/>
      <w:iCs/>
      <w:color w:val="404040" w:themeColor="text1" w:themeTint="BF"/>
    </w:rPr>
  </w:style>
  <w:style w:type="paragraph" w:styleId="ListParagraph">
    <w:name w:val="List Paragraph"/>
    <w:basedOn w:val="Normal"/>
    <w:uiPriority w:val="34"/>
    <w:qFormat/>
    <w:rsid w:val="008B37D7"/>
    <w:pPr>
      <w:ind w:left="720"/>
      <w:contextualSpacing/>
    </w:pPr>
  </w:style>
  <w:style w:type="character" w:styleId="IntenseEmphasis">
    <w:name w:val="Intense Emphasis"/>
    <w:basedOn w:val="DefaultParagraphFont"/>
    <w:uiPriority w:val="21"/>
    <w:qFormat/>
    <w:rsid w:val="008B37D7"/>
    <w:rPr>
      <w:i/>
      <w:iCs/>
      <w:color w:val="0F4761" w:themeColor="accent1" w:themeShade="BF"/>
    </w:rPr>
  </w:style>
  <w:style w:type="paragraph" w:styleId="IntenseQuote">
    <w:name w:val="Intense Quote"/>
    <w:basedOn w:val="Normal"/>
    <w:next w:val="Normal"/>
    <w:link w:val="IntenseQuoteChar"/>
    <w:uiPriority w:val="30"/>
    <w:qFormat/>
    <w:rsid w:val="008B37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37D7"/>
    <w:rPr>
      <w:i/>
      <w:iCs/>
      <w:color w:val="0F4761" w:themeColor="accent1" w:themeShade="BF"/>
    </w:rPr>
  </w:style>
  <w:style w:type="character" w:styleId="IntenseReference">
    <w:name w:val="Intense Reference"/>
    <w:basedOn w:val="DefaultParagraphFont"/>
    <w:uiPriority w:val="32"/>
    <w:qFormat/>
    <w:rsid w:val="008B37D7"/>
    <w:rPr>
      <w:b/>
      <w:bCs/>
      <w:smallCaps/>
      <w:color w:val="0F4761" w:themeColor="accent1" w:themeShade="BF"/>
      <w:spacing w:val="5"/>
    </w:rPr>
  </w:style>
  <w:style w:type="character" w:customStyle="1" w:styleId="il">
    <w:name w:val="il"/>
    <w:basedOn w:val="DefaultParagraphFont"/>
    <w:rsid w:val="00AB3D1A"/>
  </w:style>
  <w:style w:type="paragraph" w:styleId="NormalWeb">
    <w:name w:val="Normal (Web)"/>
    <w:basedOn w:val="Normal"/>
    <w:uiPriority w:val="99"/>
    <w:semiHidden/>
    <w:unhideWhenUsed/>
    <w:rsid w:val="00AB3D1A"/>
    <w:pPr>
      <w:spacing w:before="100" w:beforeAutospacing="1" w:after="100" w:afterAutospacing="1" w:line="240" w:lineRule="auto"/>
    </w:pPr>
    <w:rPr>
      <w:rFonts w:ascii="Times New Roman" w:eastAsia="Times New Roman" w:hAnsi="Times New Roman" w:cs="Times New Roman"/>
      <w:kern w:val="0"/>
      <w:lang w:eastAsia="en-IL"/>
      <w14:ligatures w14:val="none"/>
    </w:rPr>
  </w:style>
  <w:style w:type="character" w:styleId="Hyperlink">
    <w:name w:val="Hyperlink"/>
    <w:basedOn w:val="DefaultParagraphFont"/>
    <w:uiPriority w:val="99"/>
    <w:semiHidden/>
    <w:unhideWhenUsed/>
    <w:rsid w:val="00AB3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Ben Yishay</dc:creator>
  <cp:keywords/>
  <dc:description/>
  <cp:lastModifiedBy>Tal Ben Yishay</cp:lastModifiedBy>
  <cp:revision>2</cp:revision>
  <dcterms:created xsi:type="dcterms:W3CDTF">2024-03-28T06:23:00Z</dcterms:created>
  <dcterms:modified xsi:type="dcterms:W3CDTF">2024-03-28T06:23:00Z</dcterms:modified>
</cp:coreProperties>
</file>