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40B" w:rsidRDefault="00F9240B" w:rsidP="00F9240B">
      <w:pPr>
        <w:pStyle w:val="NormalWeb"/>
        <w:spacing w:before="0" w:beforeAutospacing="0" w:after="0" w:afterAutospacing="0"/>
        <w:jc w:val="both"/>
      </w:pPr>
      <w:r>
        <w:rPr>
          <w:rFonts w:ascii="Calibri" w:hAnsi="Calibri"/>
          <w:color w:val="17365D"/>
        </w:rPr>
        <w:t xml:space="preserve">You are cordially invited to a talk in the </w:t>
      </w:r>
      <w:r>
        <w:rPr>
          <w:rFonts w:ascii="Calibri" w:hAnsi="Calibri"/>
          <w:color w:val="C00000"/>
        </w:rPr>
        <w:t>Edmond J. Safra Center for Bioinformatics Distinguished Speaker Series.</w:t>
      </w:r>
    </w:p>
    <w:p w:rsidR="00F9240B" w:rsidRDefault="00F9240B" w:rsidP="00F9240B">
      <w:pPr>
        <w:rPr>
          <w:rFonts w:ascii="Calibri" w:hAnsi="Calibri"/>
          <w:color w:val="17365D"/>
        </w:rPr>
      </w:pPr>
      <w:r>
        <w:rPr>
          <w:rFonts w:ascii="Calibri" w:hAnsi="Calibri"/>
          <w:color w:val="17365D"/>
        </w:rPr>
        <w:t>The speaker is</w:t>
      </w:r>
      <w:r>
        <w:rPr>
          <w:rFonts w:ascii="Calibri" w:hAnsi="Calibri"/>
          <w:color w:val="1F497D"/>
        </w:rPr>
        <w:t xml:space="preserve"> </w:t>
      </w:r>
      <w:r>
        <w:rPr>
          <w:rFonts w:ascii="Calibri" w:hAnsi="Calibri"/>
          <w:color w:val="C00000"/>
        </w:rPr>
        <w:t>Prof. James Galagan,</w:t>
      </w:r>
      <w:r>
        <w:t xml:space="preserve"> </w:t>
      </w:r>
      <w:r>
        <w:rPr>
          <w:rFonts w:ascii="Calibri" w:hAnsi="Calibri"/>
          <w:color w:val="17365D"/>
        </w:rPr>
        <w:t>Departments of Biomedical Engineering and Microbiology; National Emerging Infectious Diseases Laboratory, Boston University.</w:t>
      </w:r>
    </w:p>
    <w:p w:rsidR="00F9240B" w:rsidRDefault="00F9240B" w:rsidP="00F9240B">
      <w:r>
        <w:rPr>
          <w:rFonts w:ascii="Calibri" w:hAnsi="Calibri"/>
          <w:b/>
          <w:bCs/>
          <w:color w:val="C00000"/>
        </w:rPr>
        <w:t> </w:t>
      </w:r>
    </w:p>
    <w:p w:rsidR="00F9240B" w:rsidRDefault="00F9240B" w:rsidP="00F9240B">
      <w:pPr>
        <w:rPr>
          <w:sz w:val="20"/>
          <w:szCs w:val="20"/>
          <w:lang w:val="en-GB"/>
        </w:rPr>
      </w:pPr>
      <w:r>
        <w:rPr>
          <w:rFonts w:ascii="Calibri" w:hAnsi="Calibri"/>
          <w:color w:val="C00000"/>
        </w:rPr>
        <w:t>Title:</w:t>
      </w:r>
      <w:r>
        <w:rPr>
          <w:rFonts w:ascii="Calibri" w:hAnsi="Calibri"/>
          <w:b/>
          <w:bCs/>
          <w:color w:val="C00000"/>
        </w:rPr>
        <w:t>   </w:t>
      </w:r>
      <w:r>
        <w:rPr>
          <w:rFonts w:ascii="Calibri" w:hAnsi="Calibri"/>
          <w:color w:val="17365D"/>
        </w:rPr>
        <w:t>"Mapping and Modeling of Microbial Cellular Networks"</w:t>
      </w:r>
    </w:p>
    <w:p w:rsidR="00F9240B" w:rsidRDefault="00F9240B" w:rsidP="00F9240B">
      <w:pPr>
        <w:pStyle w:val="Heading1"/>
        <w:spacing w:before="0" w:beforeAutospacing="0" w:after="0" w:afterAutospacing="0"/>
        <w:rPr>
          <w:rFonts w:eastAsia="Times New Roman"/>
        </w:rPr>
      </w:pPr>
      <w:r>
        <w:rPr>
          <w:rFonts w:ascii="Calibri" w:eastAsia="Times New Roman" w:hAnsi="Calibri"/>
          <w:color w:val="1F497D"/>
          <w:sz w:val="24"/>
          <w:szCs w:val="24"/>
        </w:rPr>
        <w:t> </w:t>
      </w:r>
    </w:p>
    <w:p w:rsidR="00F9240B" w:rsidRDefault="00F9240B" w:rsidP="00F9240B">
      <w:pPr>
        <w:pStyle w:val="Heading1"/>
        <w:spacing w:before="0" w:beforeAutospacing="0" w:after="0" w:afterAutospacing="0"/>
        <w:rPr>
          <w:rFonts w:eastAsia="Times New Roman"/>
        </w:rPr>
      </w:pPr>
      <w:r>
        <w:rPr>
          <w:rFonts w:ascii="Calibri" w:eastAsia="Times New Roman" w:hAnsi="Calibri"/>
          <w:b w:val="0"/>
          <w:bCs w:val="0"/>
          <w:color w:val="C00000"/>
          <w:sz w:val="24"/>
          <w:szCs w:val="24"/>
        </w:rPr>
        <w:t>Time:</w:t>
      </w:r>
      <w:r>
        <w:rPr>
          <w:rFonts w:ascii="Calibri" w:eastAsia="Times New Roman" w:hAnsi="Calibri"/>
          <w:b w:val="0"/>
          <w:bCs w:val="0"/>
          <w:sz w:val="24"/>
          <w:szCs w:val="24"/>
        </w:rPr>
        <w:t xml:space="preserve">  </w:t>
      </w:r>
      <w:r>
        <w:rPr>
          <w:rFonts w:ascii="Calibri" w:eastAsia="Times New Roman" w:hAnsi="Calibri"/>
          <w:b w:val="0"/>
          <w:bCs w:val="0"/>
          <w:color w:val="1F497D"/>
          <w:sz w:val="24"/>
          <w:szCs w:val="24"/>
        </w:rPr>
        <w:t xml:space="preserve"> </w:t>
      </w:r>
      <w:r>
        <w:rPr>
          <w:rFonts w:ascii="Calibri" w:eastAsia="Times New Roman" w:hAnsi="Calibri"/>
          <w:b w:val="0"/>
          <w:bCs w:val="0"/>
          <w:color w:val="17365D"/>
          <w:sz w:val="24"/>
          <w:szCs w:val="24"/>
        </w:rPr>
        <w:t xml:space="preserve">Wednesday, </w:t>
      </w:r>
      <w:r>
        <w:rPr>
          <w:rFonts w:ascii="Calibri" w:eastAsia="Times New Roman" w:hAnsi="Calibri"/>
          <w:b w:val="0"/>
          <w:bCs w:val="0"/>
          <w:color w:val="C00000"/>
          <w:sz w:val="24"/>
          <w:szCs w:val="24"/>
        </w:rPr>
        <w:t>July 19 , 2017</w:t>
      </w:r>
      <w:r>
        <w:rPr>
          <w:rFonts w:ascii="Calibri" w:eastAsia="Times New Roman" w:hAnsi="Calibri"/>
          <w:b w:val="0"/>
          <w:bCs w:val="0"/>
          <w:color w:val="17365D"/>
          <w:sz w:val="24"/>
          <w:szCs w:val="24"/>
        </w:rPr>
        <w:t xml:space="preserve">, at </w:t>
      </w:r>
      <w:r>
        <w:rPr>
          <w:rFonts w:ascii="Calibri" w:eastAsia="Times New Roman" w:hAnsi="Calibri"/>
          <w:b w:val="0"/>
          <w:bCs w:val="0"/>
          <w:color w:val="C00000"/>
          <w:sz w:val="24"/>
          <w:szCs w:val="24"/>
        </w:rPr>
        <w:t>11:15</w:t>
      </w:r>
      <w:r>
        <w:rPr>
          <w:rFonts w:ascii="Calibri" w:eastAsia="Times New Roman" w:hAnsi="Calibri"/>
          <w:b w:val="0"/>
          <w:bCs w:val="0"/>
          <w:color w:val="17365D"/>
          <w:sz w:val="24"/>
          <w:szCs w:val="24"/>
        </w:rPr>
        <w:t>  sharp  (refreshments from 11:00)</w:t>
      </w:r>
      <w:r>
        <w:rPr>
          <w:rFonts w:eastAsia="Times New Roman" w:hint="cs"/>
          <w:b w:val="0"/>
          <w:bCs w:val="0"/>
          <w:color w:val="17365D"/>
          <w:sz w:val="24"/>
          <w:szCs w:val="24"/>
          <w:rtl/>
        </w:rPr>
        <w:t> </w:t>
      </w:r>
    </w:p>
    <w:p w:rsidR="00F9240B" w:rsidRDefault="00F9240B" w:rsidP="00F9240B">
      <w:pPr>
        <w:pStyle w:val="Heading1"/>
        <w:spacing w:before="0" w:beforeAutospacing="0" w:after="0" w:afterAutospacing="0"/>
        <w:rPr>
          <w:rFonts w:eastAsia="Times New Roman"/>
        </w:rPr>
      </w:pPr>
      <w:r>
        <w:rPr>
          <w:rFonts w:eastAsia="Times New Roman" w:hint="cs"/>
          <w:b w:val="0"/>
          <w:bCs w:val="0"/>
          <w:sz w:val="24"/>
          <w:szCs w:val="24"/>
          <w:rtl/>
        </w:rPr>
        <w:t> </w:t>
      </w:r>
    </w:p>
    <w:p w:rsidR="00F9240B" w:rsidRDefault="00F9240B" w:rsidP="00F9240B">
      <w:pPr>
        <w:pStyle w:val="NormalWeb"/>
        <w:spacing w:before="0" w:beforeAutospacing="0" w:after="0" w:afterAutospacing="0"/>
      </w:pPr>
      <w:r>
        <w:rPr>
          <w:rFonts w:ascii="Calibri" w:hAnsi="Calibri"/>
          <w:color w:val="C00000"/>
        </w:rPr>
        <w:t>Place:</w:t>
      </w:r>
      <w:r>
        <w:rPr>
          <w:rFonts w:ascii="Calibri" w:hAnsi="Calibri"/>
        </w:rPr>
        <w:t xml:space="preserve">  </w:t>
      </w:r>
      <w:r>
        <w:rPr>
          <w:rFonts w:ascii="Calibri" w:hAnsi="Calibri"/>
          <w:color w:val="17365D"/>
        </w:rPr>
        <w:t>Schreiber 309, School of Computer Science  </w:t>
      </w:r>
    </w:p>
    <w:p w:rsidR="00F9240B" w:rsidRDefault="00F9240B" w:rsidP="00F9240B">
      <w:pPr>
        <w:pStyle w:val="NormalWeb"/>
        <w:spacing w:before="0" w:beforeAutospacing="0" w:after="0" w:afterAutospacing="0"/>
      </w:pPr>
      <w:r>
        <w:rPr>
          <w:rFonts w:ascii="Calibri" w:hAnsi="Calibri"/>
          <w:color w:val="17365D"/>
        </w:rPr>
        <w:t> </w:t>
      </w:r>
    </w:p>
    <w:p w:rsidR="00F9240B" w:rsidRDefault="00F9240B" w:rsidP="00F9240B">
      <w:pPr>
        <w:pStyle w:val="NormalWeb"/>
        <w:spacing w:before="0" w:beforeAutospacing="0" w:after="0" w:afterAutospacing="0"/>
        <w:rPr>
          <w:rFonts w:ascii="Calibri" w:hAnsi="Calibri"/>
          <w:b/>
          <w:bCs/>
          <w:color w:val="336600"/>
          <w:sz w:val="22"/>
          <w:szCs w:val="22"/>
        </w:rPr>
      </w:pPr>
      <w:r>
        <w:rPr>
          <w:rFonts w:ascii="Calibri" w:hAnsi="Calibri"/>
          <w:color w:val="C00000"/>
        </w:rPr>
        <w:t>Host:</w:t>
      </w:r>
      <w:r>
        <w:rPr>
          <w:rFonts w:ascii="Calibri" w:hAnsi="Calibri"/>
          <w:b/>
          <w:bCs/>
          <w:color w:val="C00000"/>
        </w:rPr>
        <w:t xml:space="preserve">  </w:t>
      </w:r>
      <w:r>
        <w:rPr>
          <w:rFonts w:ascii="Calibri" w:hAnsi="Calibri"/>
          <w:color w:val="17365D"/>
        </w:rPr>
        <w:t xml:space="preserve"> Prof. Ron Shamir, </w:t>
      </w:r>
      <w:hyperlink r:id="rId4" w:history="1">
        <w:r>
          <w:rPr>
            <w:rStyle w:val="Hyperlink"/>
            <w:rFonts w:ascii="Calibri" w:hAnsi="Calibri"/>
          </w:rPr>
          <w:t>rshamir@tau.ac.il</w:t>
        </w:r>
      </w:hyperlink>
      <w:r>
        <w:rPr>
          <w:rFonts w:ascii="Calibri" w:hAnsi="Calibri"/>
          <w:color w:val="17365D"/>
        </w:rPr>
        <w:t>, School of Computer Science, TAU</w:t>
      </w:r>
    </w:p>
    <w:p w:rsidR="00F9240B" w:rsidRDefault="00F9240B" w:rsidP="00F9240B">
      <w:pPr>
        <w:pStyle w:val="NormalWeb"/>
        <w:spacing w:before="0" w:beforeAutospacing="0" w:after="0" w:afterAutospacing="0"/>
        <w:rPr>
          <w:rFonts w:ascii="Calibri" w:hAnsi="Calibri"/>
          <w:b/>
          <w:bCs/>
          <w:color w:val="336600"/>
          <w:sz w:val="22"/>
          <w:szCs w:val="22"/>
        </w:rPr>
      </w:pPr>
    </w:p>
    <w:p w:rsidR="00F9240B" w:rsidRDefault="00F9240B" w:rsidP="00F9240B">
      <w:pPr>
        <w:rPr>
          <w:rFonts w:ascii="Calibri" w:hAnsi="Calibri"/>
          <w:color w:val="17365D"/>
          <w:sz w:val="22"/>
          <w:szCs w:val="22"/>
        </w:rPr>
      </w:pPr>
      <w:r>
        <w:rPr>
          <w:rFonts w:ascii="Calibri" w:hAnsi="Calibri"/>
          <w:color w:val="C00000"/>
        </w:rPr>
        <w:t>Abstract</w:t>
      </w:r>
      <w:r>
        <w:rPr>
          <w:rFonts w:ascii="Calibri" w:hAnsi="Calibri"/>
          <w:color w:val="C00000"/>
          <w:sz w:val="22"/>
          <w:szCs w:val="22"/>
        </w:rPr>
        <w:t>:</w:t>
      </w:r>
      <w:r>
        <w:rPr>
          <w:rFonts w:ascii="Arial" w:hAnsi="Arial" w:cs="Arial"/>
          <w:color w:val="17365D"/>
          <w:sz w:val="22"/>
          <w:szCs w:val="22"/>
        </w:rPr>
        <w:t xml:space="preserve"> </w:t>
      </w:r>
      <w:r>
        <w:rPr>
          <w:rFonts w:ascii="Calibri" w:hAnsi="Calibri"/>
          <w:color w:val="17365D"/>
          <w:sz w:val="22"/>
          <w:szCs w:val="22"/>
        </w:rPr>
        <w:t xml:space="preserve">Genomic techniques including ChIP-Seq and RNA-Seq have let to dramatic advances in the mapping of gene regulatory networks in eucharyotes, but they have only recently been applied to bacteria.  Our group has performed extensive regulatory network mapping in </w:t>
      </w:r>
      <w:r>
        <w:rPr>
          <w:rFonts w:ascii="Calibri" w:hAnsi="Calibri"/>
          <w:i/>
          <w:iCs/>
          <w:color w:val="17365D"/>
          <w:sz w:val="22"/>
          <w:szCs w:val="22"/>
        </w:rPr>
        <w:t>M. tuberculosis</w:t>
      </w:r>
      <w:r>
        <w:rPr>
          <w:rFonts w:ascii="Calibri" w:hAnsi="Calibri"/>
          <w:color w:val="17365D"/>
          <w:sz w:val="22"/>
          <w:szCs w:val="22"/>
        </w:rPr>
        <w:t xml:space="preserve">, </w:t>
      </w:r>
      <w:r>
        <w:rPr>
          <w:rFonts w:ascii="Calibri" w:hAnsi="Calibri"/>
          <w:i/>
          <w:iCs/>
          <w:color w:val="17365D"/>
          <w:sz w:val="22"/>
          <w:szCs w:val="22"/>
        </w:rPr>
        <w:t>E. coli</w:t>
      </w:r>
      <w:r>
        <w:rPr>
          <w:rFonts w:ascii="Calibri" w:hAnsi="Calibri"/>
          <w:color w:val="17365D"/>
          <w:sz w:val="22"/>
          <w:szCs w:val="22"/>
        </w:rPr>
        <w:t xml:space="preserve">, and several other bacteria.  The data have revealed an unexpected diversity of transcription factor (TF) binding sites. The regulatory networks arising from these data appear more complex and interconnected that previously expected, implying that many processes previously considered in isolation can only be fully understood in the context of the system as a whole.  This necessitates developing a comprehensive understanding of the dynamic behavior of cellular networks. </w:t>
      </w:r>
    </w:p>
    <w:p w:rsidR="00F9240B" w:rsidRDefault="00F9240B" w:rsidP="00F9240B">
      <w:pPr>
        <w:rPr>
          <w:rFonts w:ascii="Calibri" w:hAnsi="Calibri"/>
          <w:color w:val="17365D"/>
          <w:sz w:val="22"/>
          <w:szCs w:val="22"/>
        </w:rPr>
      </w:pPr>
      <w:r>
        <w:rPr>
          <w:rFonts w:ascii="Calibri" w:hAnsi="Calibri"/>
          <w:color w:val="17365D"/>
          <w:sz w:val="22"/>
          <w:szCs w:val="22"/>
        </w:rPr>
        <w:t>I will present results from our ongoing work to comprehensively map microbial regulatory networks, to develop algorithms for the analysis of the resulting data, to develop computational models of gene regulatory networks, to link these models to metabolism, and to use these models to make testable predictions about molecular behavior and phenotypic outcomes relevant to a range of problems, including bacterial pathogenesis and drug resistance.</w:t>
      </w:r>
    </w:p>
    <w:p w:rsidR="00F9240B" w:rsidRDefault="00F9240B" w:rsidP="00F9240B">
      <w:pPr>
        <w:rPr>
          <w:rFonts w:ascii="Arial" w:hAnsi="Arial" w:cs="Arial"/>
          <w:color w:val="17365D"/>
          <w:sz w:val="22"/>
          <w:szCs w:val="22"/>
        </w:rPr>
      </w:pPr>
    </w:p>
    <w:p w:rsidR="00F9240B" w:rsidRDefault="00F9240B" w:rsidP="00F9240B">
      <w:pPr>
        <w:rPr>
          <w:rFonts w:ascii="Calibri" w:hAnsi="Calibri"/>
          <w:color w:val="17365D"/>
          <w:sz w:val="22"/>
          <w:szCs w:val="22"/>
        </w:rPr>
      </w:pPr>
      <w:r>
        <w:rPr>
          <w:rFonts w:ascii="Calibri" w:hAnsi="Calibri"/>
          <w:noProof/>
          <w:color w:val="17365D"/>
          <w:sz w:val="22"/>
          <w:szCs w:val="22"/>
        </w:rPr>
        <w:drawing>
          <wp:inline distT="0" distB="0" distL="0" distR="0">
            <wp:extent cx="5402580" cy="716280"/>
            <wp:effectExtent l="0" t="0" r="7620" b="7620"/>
            <wp:docPr id="1" name="Picture 1" descr="Safra_mail_banner_Oct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ra_mail_banner_Oct2016"/>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02580" cy="716280"/>
                    </a:xfrm>
                    <a:prstGeom prst="rect">
                      <a:avLst/>
                    </a:prstGeom>
                    <a:noFill/>
                    <a:ln>
                      <a:noFill/>
                    </a:ln>
                  </pic:spPr>
                </pic:pic>
              </a:graphicData>
            </a:graphic>
          </wp:inline>
        </w:drawing>
      </w:r>
    </w:p>
    <w:p w:rsidR="00F9240B" w:rsidRDefault="00F9240B" w:rsidP="00F9240B">
      <w:pPr>
        <w:rPr>
          <w:rFonts w:ascii="Calibri" w:hAnsi="Calibri"/>
          <w:color w:val="17365D"/>
          <w:sz w:val="22"/>
          <w:szCs w:val="22"/>
        </w:rPr>
      </w:pPr>
    </w:p>
    <w:p w:rsidR="00F9240B" w:rsidRDefault="00F9240B" w:rsidP="00F9240B">
      <w:pPr>
        <w:rPr>
          <w:rFonts w:ascii="Arial" w:hAnsi="Arial" w:cs="Arial"/>
          <w:color w:val="17365D"/>
          <w:sz w:val="22"/>
          <w:szCs w:val="22"/>
        </w:rPr>
      </w:pPr>
    </w:p>
    <w:p w:rsidR="00F9240B" w:rsidRDefault="00F9240B" w:rsidP="00F9240B">
      <w:pPr>
        <w:rPr>
          <w:rFonts w:ascii="Calibri" w:hAnsi="Calibri"/>
          <w:color w:val="17365D"/>
          <w:sz w:val="22"/>
          <w:szCs w:val="22"/>
        </w:rPr>
      </w:pPr>
    </w:p>
    <w:p w:rsidR="00F9240B" w:rsidRDefault="00F9240B" w:rsidP="00F9240B">
      <w:pPr>
        <w:rPr>
          <w:rFonts w:ascii="Arial" w:hAnsi="Arial" w:cs="Arial"/>
          <w:color w:val="17365D"/>
          <w:sz w:val="22"/>
          <w:szCs w:val="22"/>
        </w:rPr>
      </w:pPr>
    </w:p>
    <w:p w:rsidR="00F9240B" w:rsidRDefault="00F9240B" w:rsidP="00F9240B">
      <w:pPr>
        <w:rPr>
          <w:rFonts w:ascii="Arial" w:hAnsi="Arial" w:cs="Arial"/>
          <w:color w:val="17365D"/>
          <w:sz w:val="22"/>
          <w:szCs w:val="22"/>
        </w:rPr>
      </w:pPr>
    </w:p>
    <w:p w:rsidR="00F9240B" w:rsidRDefault="00F9240B" w:rsidP="00F9240B">
      <w:pPr>
        <w:rPr>
          <w:rFonts w:ascii="Arial" w:hAnsi="Arial" w:cs="Arial"/>
          <w:color w:val="17365D"/>
          <w:sz w:val="22"/>
          <w:szCs w:val="22"/>
        </w:rPr>
      </w:pPr>
    </w:p>
    <w:p w:rsidR="00772EEC" w:rsidRDefault="00772EEC">
      <w:bookmarkStart w:id="0" w:name="_GoBack"/>
      <w:bookmarkEnd w:id="0"/>
    </w:p>
    <w:sectPr w:rsidR="00772EEC" w:rsidSect="00F76F0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40B"/>
    <w:rsid w:val="000C5EAD"/>
    <w:rsid w:val="005C2019"/>
    <w:rsid w:val="00772EEC"/>
    <w:rsid w:val="00E55C31"/>
    <w:rsid w:val="00F76F01"/>
    <w:rsid w:val="00F924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D7477-12EC-4895-B6D7-8A958D70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40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9240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40B"/>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F9240B"/>
    <w:rPr>
      <w:color w:val="0000FF"/>
      <w:u w:val="single"/>
    </w:rPr>
  </w:style>
  <w:style w:type="paragraph" w:styleId="NormalWeb">
    <w:name w:val="Normal (Web)"/>
    <w:basedOn w:val="Normal"/>
    <w:uiPriority w:val="99"/>
    <w:semiHidden/>
    <w:unhideWhenUsed/>
    <w:rsid w:val="00F924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54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3.jpg@01D2F0E4.AEB25C20" TargetMode="External"/><Relationship Id="rId5" Type="http://schemas.openxmlformats.org/officeDocument/2006/relationships/image" Target="media/image1.jpeg"/><Relationship Id="rId4" Type="http://schemas.openxmlformats.org/officeDocument/2006/relationships/hyperlink" Target="mailto:wolfson@tau.a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Tel-Aviv University</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Gilit Zohar Oren</dc:creator>
  <cp:keywords/>
  <dc:description/>
  <cp:lastModifiedBy>Gilit Zohar Oren</cp:lastModifiedBy>
  <cp:revision>1</cp:revision>
  <dcterms:created xsi:type="dcterms:W3CDTF">2017-07-13T07:17:00Z</dcterms:created>
  <dcterms:modified xsi:type="dcterms:W3CDTF">2017-07-13T07:18:00Z</dcterms:modified>
</cp:coreProperties>
</file>